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B4E5" w14:textId="77777777" w:rsidR="00AB4C1F" w:rsidRDefault="00757011" w:rsidP="009C532C">
      <w:pPr>
        <w:pStyle w:val="a9"/>
        <w:spacing w:before="0"/>
        <w:rPr>
          <w:b/>
        </w:rPr>
      </w:pPr>
      <w:r w:rsidRPr="00112200">
        <w:rPr>
          <w:b/>
        </w:rPr>
        <w:t>ПОЯСНИТЕЛЬНАЯ ЗАПИСКА</w:t>
      </w:r>
    </w:p>
    <w:p w14:paraId="29FBC01C" w14:textId="77777777" w:rsidR="009C532C" w:rsidRPr="00112200" w:rsidRDefault="009C532C" w:rsidP="009C532C">
      <w:pPr>
        <w:pStyle w:val="a9"/>
        <w:spacing w:before="0" w:line="120" w:lineRule="exact"/>
        <w:rPr>
          <w:b/>
        </w:rPr>
      </w:pPr>
    </w:p>
    <w:p w14:paraId="3A05C305" w14:textId="77777777" w:rsidR="00AB4C1F" w:rsidRDefault="00757011" w:rsidP="009C532C">
      <w:pPr>
        <w:pStyle w:val="aa"/>
        <w:spacing w:before="0"/>
        <w:contextualSpacing/>
        <w:rPr>
          <w:rFonts w:ascii="Times New Roman" w:hAnsi="Times New Roman"/>
        </w:rPr>
      </w:pPr>
      <w:r w:rsidRPr="00112200">
        <w:rPr>
          <w:rFonts w:ascii="Times New Roman" w:hAnsi="Times New Roman"/>
        </w:rPr>
        <w:t>к проекту федерального закона</w:t>
      </w:r>
      <w:r w:rsidR="009C532C">
        <w:rPr>
          <w:rFonts w:ascii="Times New Roman" w:hAnsi="Times New Roman"/>
        </w:rPr>
        <w:t xml:space="preserve"> </w:t>
      </w:r>
      <w:r w:rsidR="009B3193">
        <w:rPr>
          <w:rFonts w:ascii="Times New Roman" w:hAnsi="Times New Roman"/>
        </w:rPr>
        <w:t>"</w:t>
      </w:r>
      <w:r w:rsidRPr="00112200">
        <w:rPr>
          <w:rFonts w:ascii="Times New Roman" w:hAnsi="Times New Roman"/>
        </w:rPr>
        <w:t xml:space="preserve">О внесении изменений в Федеральный закон "О государственном (муниципальном) социальном заказе </w:t>
      </w:r>
      <w:r w:rsidR="009C532C">
        <w:rPr>
          <w:rFonts w:ascii="Times New Roman" w:hAnsi="Times New Roman"/>
        </w:rPr>
        <w:br/>
      </w:r>
      <w:r w:rsidRPr="00112200">
        <w:rPr>
          <w:rFonts w:ascii="Times New Roman" w:hAnsi="Times New Roman"/>
        </w:rPr>
        <w:t>на оказание государственных (муниципальных) услуг в социальной сфере"</w:t>
      </w:r>
      <w:r w:rsidR="00A97EEE">
        <w:rPr>
          <w:rFonts w:ascii="Times New Roman" w:hAnsi="Times New Roman"/>
        </w:rPr>
        <w:t xml:space="preserve"> </w:t>
      </w:r>
    </w:p>
    <w:p w14:paraId="0A177049" w14:textId="77777777" w:rsidR="009C532C" w:rsidRDefault="009C532C" w:rsidP="009C532C">
      <w:pPr>
        <w:pStyle w:val="aa"/>
        <w:spacing w:before="0"/>
        <w:contextualSpacing/>
        <w:rPr>
          <w:rFonts w:ascii="Times New Roman" w:hAnsi="Times New Roman"/>
        </w:rPr>
      </w:pPr>
    </w:p>
    <w:p w14:paraId="403B4F5A" w14:textId="77777777" w:rsidR="009C532C" w:rsidRPr="00112200" w:rsidRDefault="009C532C" w:rsidP="009C532C">
      <w:pPr>
        <w:pStyle w:val="aa"/>
        <w:spacing w:before="0"/>
        <w:contextualSpacing/>
        <w:rPr>
          <w:rFonts w:ascii="Times New Roman" w:hAnsi="Times New Roman"/>
        </w:rPr>
      </w:pPr>
    </w:p>
    <w:p w14:paraId="3E5FF754" w14:textId="77777777" w:rsidR="009B3193" w:rsidRDefault="00757011" w:rsidP="009C532C">
      <w:pPr>
        <w:ind w:firstLine="709"/>
      </w:pPr>
      <w:r>
        <w:t xml:space="preserve">Проект федерального закона "О внесении изменений в Федеральный закон "О государственном (муниципальном) социальном заказе на оказание государственных (муниципальных) услуг в социальной сфере" (далее - законопроект) разработан во исполнение пункта 6 плана законопроектной деятельности Правительства Российской Федерации на 2023 год, утвержденного распоряжением Правительства Российской Федерации от 23 декабря 2022 г. № 4112-р, </w:t>
      </w:r>
      <w:r w:rsidR="00CD474F">
        <w:t xml:space="preserve">в целях гармонизации правового регулирования в сфере </w:t>
      </w:r>
      <w:r>
        <w:t xml:space="preserve"> </w:t>
      </w:r>
      <w:r w:rsidR="00CD474F">
        <w:t xml:space="preserve">оказания </w:t>
      </w:r>
      <w:r>
        <w:t>государственных (муниципальных) услуг в социальной сфере.</w:t>
      </w:r>
    </w:p>
    <w:p w14:paraId="02A01DDF" w14:textId="77777777" w:rsidR="009B3193" w:rsidRDefault="00757011" w:rsidP="009C532C">
      <w:pPr>
        <w:ind w:firstLine="709"/>
      </w:pPr>
      <w:r>
        <w:t>1. Понятие государственная (муниципальная) услуга определено статьей 6 Бюджетного кодекса Российской Федерации (да</w:t>
      </w:r>
      <w:r w:rsidR="00CD474F">
        <w:t>лее -</w:t>
      </w:r>
      <w:r>
        <w:t xml:space="preserve"> Бюджетный кодекс).</w:t>
      </w:r>
    </w:p>
    <w:p w14:paraId="53A6AB02" w14:textId="77777777" w:rsidR="009B3193" w:rsidRDefault="00757011" w:rsidP="009C532C">
      <w:pPr>
        <w:ind w:firstLine="709"/>
      </w:pPr>
      <w:r>
        <w:t xml:space="preserve">Федеральным законом от 14 июля 2022 г. № 295-ФЗ "О внесении изменений в Федеральный закон "Об образовании в Российской Федерации" </w:t>
      </w:r>
      <w:r w:rsidR="009C532C">
        <w:br/>
      </w:r>
      <w:r>
        <w:t xml:space="preserve">в Федеральный закон от 29 декабря 2012 г. № 273-ФЗ "Об образовании </w:t>
      </w:r>
      <w:r w:rsidR="009C532C">
        <w:br/>
      </w:r>
      <w:r>
        <w:t>в Российской Федерации" (далее - Федеральный закон № 273-ФЗ) внесены изменения, предусматривающие исключение термина "государственная услуга", при этом вопросы организации финансового обеспечения деятельности в сфере образования отнесены к предмету регулирования Бюджетного кодекса.</w:t>
      </w:r>
    </w:p>
    <w:p w14:paraId="3BFB5202" w14:textId="77777777" w:rsidR="009B3193" w:rsidRDefault="00757011" w:rsidP="009C532C">
      <w:pPr>
        <w:ind w:firstLine="709"/>
      </w:pPr>
      <w:r>
        <w:t xml:space="preserve">В целях гармонизации изменений, внесенных в Федеральный закон </w:t>
      </w:r>
      <w:r>
        <w:br/>
        <w:t xml:space="preserve">№ 273-ФЗ, и положений бюджетного законодательства Российской Федерации законопроектом уточняется понятие государственная (муниципальная) услуга </w:t>
      </w:r>
      <w:r>
        <w:br/>
        <w:t xml:space="preserve">в социальной сфере, используемое для целей Федерального закона </w:t>
      </w:r>
      <w:r w:rsidR="00CD474F">
        <w:t xml:space="preserve">от 13 июля 2020 г. </w:t>
      </w:r>
      <w:r>
        <w:t>№ 189-ФЗ.</w:t>
      </w:r>
      <w:r w:rsidR="00CD474F" w:rsidRPr="00CD474F">
        <w:t xml:space="preserve"> "О государственном (муниципальном) социальном заказе на оказание государственных (муниципальных) услуг в социальной сфере</w:t>
      </w:r>
      <w:r w:rsidR="00CD474F">
        <w:t>" (далее - Федеральный закон № 189-ФЗ).</w:t>
      </w:r>
    </w:p>
    <w:p w14:paraId="3385DEE2" w14:textId="77777777" w:rsidR="009B3193" w:rsidRDefault="00757011" w:rsidP="009C532C">
      <w:pPr>
        <w:ind w:firstLine="709"/>
      </w:pPr>
      <w:r>
        <w:t xml:space="preserve">2. Для обеспечения использования федеральной государственной информационной системы "Единый портал государственных и муниципальных услуг (функций)" (далее - ЕПГУ) при организации оказания государственных (муниципальных) услуг в социальной сфере в соответствии с социальным сертификатом на получение таких услуг (далее - социальный сертификат) законопроектом предусматриваются положения, устанавливающие право потребителя услуг использовать ЕПГУ при выборе исполнителя государственных (муниципальных) услуг в социальной сфере (далее - исполнитель услуг), а также при обращении в уполномоченный орган </w:t>
      </w:r>
      <w:r w:rsidR="009C532C">
        <w:br/>
      </w:r>
      <w:r>
        <w:lastRenderedPageBreak/>
        <w:t>с заявлением о предоставлении, неоказании или ненадлежащем оказании государственных (муниципальных) услуг в социальной сфере исполнителем услуг.</w:t>
      </w:r>
    </w:p>
    <w:p w14:paraId="31C45ADF" w14:textId="77777777" w:rsidR="009B3193" w:rsidRDefault="00757011" w:rsidP="009C532C">
      <w:pPr>
        <w:ind w:firstLine="709"/>
      </w:pPr>
      <w:r>
        <w:t xml:space="preserve">Кроме того, для обеспечения единообразия правового регулирования законопроектом предлагается установить возможность использования усиленной неквалифицированной электронной подписи физического лица,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9C532C">
        <w:br/>
      </w:r>
      <w:r>
        <w:t>и муниципальных услуг в электронной форме, в установленном Правительством Российской Федерации порядке, либо простой электронной подписи физического лица при использовании ЕПГУ в рамках осуществления выбора исполнителя услуг и обращения с заявлениями в уполномоченный орган.</w:t>
      </w:r>
    </w:p>
    <w:p w14:paraId="54DEDD86" w14:textId="77777777" w:rsidR="009B3193" w:rsidRDefault="00757011" w:rsidP="009C532C">
      <w:pPr>
        <w:ind w:firstLine="709"/>
      </w:pPr>
      <w:r>
        <w:t xml:space="preserve">3. Федеральный закон № 189-ФЗ вступает в силу в отдельных субъектах Российской Федерации, перечень которых утвержден распоряжением Правительства Российской Федерации от 7 октября 2020 г. № 2579-р, </w:t>
      </w:r>
      <w:r>
        <w:br/>
        <w:t>с 1 сентября 2020 г. и действует до 1 января 2025 г. (часть 1 статьи 28 Федерального закона № 189-ФЗ).</w:t>
      </w:r>
    </w:p>
    <w:p w14:paraId="04E54695" w14:textId="77777777" w:rsidR="009B3193" w:rsidRDefault="00757011" w:rsidP="009C532C">
      <w:pPr>
        <w:ind w:firstLine="709"/>
      </w:pPr>
      <w:r>
        <w:t xml:space="preserve">Для обеспечения последовательного и планомерного внедрения положений Федерального закона № 189-ФЗ начиная с 1 января 2025 г. </w:t>
      </w:r>
      <w:r w:rsidR="009C532C">
        <w:br/>
      </w:r>
      <w:r>
        <w:t xml:space="preserve">на территории Российской Федерации законопроектом предусматриваются положения, в соответствии с которыми актами, регулирующими порядки формирования государственных (муниципальных) социальных заказов </w:t>
      </w:r>
      <w:r w:rsidR="009C532C">
        <w:br/>
      </w:r>
      <w:r>
        <w:t xml:space="preserve">на оказание государственных (муниципальных) услуг в социальной сфере </w:t>
      </w:r>
      <w:r w:rsidR="009C532C">
        <w:br/>
      </w:r>
      <w:r>
        <w:t xml:space="preserve">(далее - государственный (муниципальный) социальный заказ), определяются перечни государственных (муниципальных) услуг в социальной сфере, </w:t>
      </w:r>
      <w:r w:rsidR="009C532C">
        <w:br/>
      </w:r>
      <w:r>
        <w:t xml:space="preserve">в отношении которых формируется государственный (муниципальный) социальный заказ. При этом информация о таких перечнях размещается </w:t>
      </w:r>
      <w:r w:rsidR="009C532C">
        <w:br/>
      </w:r>
      <w:r>
        <w:t xml:space="preserve">на едином портале бюджетной системы Российской Федерации </w:t>
      </w:r>
      <w:r w:rsidR="009C532C">
        <w:br/>
      </w:r>
      <w:r>
        <w:t>в информационно-телекоммуникационной сети "Интернет" (далее - единый портал бюджетной системы).</w:t>
      </w:r>
    </w:p>
    <w:p w14:paraId="6AD180FE" w14:textId="77777777" w:rsidR="009B3193" w:rsidRDefault="00757011" w:rsidP="009C532C">
      <w:pPr>
        <w:ind w:firstLine="709"/>
      </w:pPr>
      <w:r>
        <w:t xml:space="preserve">4. Федеральным законом № 189-ФЗ предусмотрены два способа конкурентного отбора исполнителей услуг: отбор обозначенным в социальном сертификате потребителем государственных (муниципальных) услуг </w:t>
      </w:r>
      <w:r w:rsidR="009C532C">
        <w:br/>
      </w:r>
      <w:r>
        <w:t xml:space="preserve">в социальной сфере либо его законным представителем исполнителя (исполнителей) услуг из реестра исполнителей услуг по социальному сертификату и конкурс на заключение соглашения об оказании государственных </w:t>
      </w:r>
      <w:r>
        <w:lastRenderedPageBreak/>
        <w:t>(муниципальных) услуг в социальной сфере (далее - конкурс) (часть 2 статьи 9 Федерального закона № 189-ФЗ).</w:t>
      </w:r>
    </w:p>
    <w:p w14:paraId="024E7954" w14:textId="77777777" w:rsidR="009B3193" w:rsidRDefault="00757011" w:rsidP="009C532C">
      <w:pPr>
        <w:ind w:firstLine="709"/>
      </w:pPr>
      <w:r>
        <w:t xml:space="preserve">Перечень государственных (муниципальных) услуг в социальной сфере, по которым исполнителей планируется определять путем отбора исполнителей услуг, определяется решениями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сфере, указанными в части 3 статьи 28 Федерального закона № 189-ФЗ (пункты 3 и 4 общих требований к принятию решений органами государственной власти субъектов Российской Федерации (органами местного самоуправления) </w:t>
      </w:r>
      <w:r w:rsidR="009C532C">
        <w:br/>
      </w:r>
      <w:r>
        <w:t xml:space="preserve">об организации оказания государственных (муниципальных) услуг в социальной сфере, утвержденных постановлением Правительства Российской Федерации </w:t>
      </w:r>
      <w:r>
        <w:br/>
        <w:t>от 13 октября 2020 г. № 1678).</w:t>
      </w:r>
    </w:p>
    <w:p w14:paraId="1791321B" w14:textId="77777777" w:rsidR="009B3193" w:rsidRDefault="00757011" w:rsidP="009C532C">
      <w:pPr>
        <w:ind w:firstLine="709"/>
      </w:pPr>
      <w:r>
        <w:t xml:space="preserve">Однако законодательством Российской Федерации предусмотрена возможность использования иных способов отбора исполнителей услуг (например, в рамках Федерального закона от 28 декабря 2013 г. № 442-ФЗ "Об основах социального обслуживания граждан в Российской Федерации" предусмотрено, что финансовое обеспечение предоставления социальных услуг негосударственными организациями может осуществляться путем предоставления субсидий либо проведения закупок социальных услуг </w:t>
      </w:r>
      <w:r w:rsidR="009C532C">
        <w:br/>
      </w:r>
      <w: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нужд).</w:t>
      </w:r>
    </w:p>
    <w:p w14:paraId="383BFE31" w14:textId="77777777" w:rsidR="009B3193" w:rsidRDefault="00757011" w:rsidP="009C532C">
      <w:pPr>
        <w:ind w:firstLine="709"/>
      </w:pPr>
      <w:r>
        <w:t>Указанные нормы создают правовую неопределенность в части возможности применения способов отбора, не предусмотренных Федеральным законом № 189-ФЗ, в отношении услуг по которым решение об использовании социального сертификата или конкурса не принято.</w:t>
      </w:r>
    </w:p>
    <w:p w14:paraId="70937A1C" w14:textId="77777777" w:rsidR="009B3193" w:rsidRDefault="00757011" w:rsidP="009C532C">
      <w:pPr>
        <w:ind w:firstLine="709"/>
      </w:pPr>
      <w:r>
        <w:t>Законопроектом предлагается в период апробации (до 1 января 2025 г.) предусмотреть возможность использования способов отбора исполнителей услуг, не предусмотренных Федеральным законом № 189-ФЗ, а также обеспечить публикацию данных о государственных гарантиях реализации прав граждан на получение государственных (муниципальных) услуг в социальной сфере, в отношении которых не применяются способы отбора исполнителей услуг, предусмотренные Федеральным законом № 189-ФЗ.</w:t>
      </w:r>
    </w:p>
    <w:p w14:paraId="64C07BFB" w14:textId="77777777" w:rsidR="009B3193" w:rsidRDefault="00757011" w:rsidP="009C532C">
      <w:pPr>
        <w:ind w:firstLine="709"/>
      </w:pPr>
      <w:r>
        <w:t xml:space="preserve">5. Законопроектом предусматриваются изменения, позволяющие предоставить преимущества участникам конкурса на право заключения соглашения об оказании государственных (муниципальных) услуг в социальной сфере, являющимся не только стороной соглашения о государственно-частном </w:t>
      </w:r>
      <w:r>
        <w:lastRenderedPageBreak/>
        <w:t xml:space="preserve">партнерстве, соглашения о муниципально-частном партнерстве </w:t>
      </w:r>
      <w:r w:rsidR="009C532C">
        <w:br/>
      </w:r>
      <w:r>
        <w:t xml:space="preserve">или концессионного соглашения (далее соответственно - соглашения о ГЧП, соглашения о МЧП, концессионное соглашение), но и лицом, привлеченным стороной соглашения о государственно-частном партнерстве, соглашения </w:t>
      </w:r>
      <w:r w:rsidR="009C532C">
        <w:br/>
      </w:r>
      <w:r>
        <w:t xml:space="preserve">о муниципально-частном партнерстве или концессионного соглашения в целях исполнения его обязательств по такому соглашению в соответствии </w:t>
      </w:r>
      <w:r w:rsidR="009C532C">
        <w:br/>
      </w:r>
      <w:r>
        <w:t xml:space="preserve">с Федеральным законом от 13 июля 2015 г. №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или Федеральным законом от 21 июля 2005 г. № 115-ФЗ "О концессионных соглашениях", а также обеспечить возможность заключения соглашения об оказании государственных (муниципальных) услуг в социальной сфере с использованием объектов в рамках соглашения о ГЧП, соглашения </w:t>
      </w:r>
      <w:r w:rsidR="009C532C">
        <w:br/>
      </w:r>
      <w:r>
        <w:t>о МЧП или концессионного соглашения на срок, соответствующий сроку действия таких соглашений.</w:t>
      </w:r>
    </w:p>
    <w:p w14:paraId="4761371B" w14:textId="77777777" w:rsidR="009B3193" w:rsidRDefault="00757011" w:rsidP="009C532C">
      <w:pPr>
        <w:ind w:firstLine="709"/>
      </w:pPr>
      <w:r>
        <w:t xml:space="preserve">В рамках законодательства Российской Федерации предусмотрены положения, определяющие возможность привлечения инвесторами третьих </w:t>
      </w:r>
      <w:r>
        <w:br/>
        <w:t xml:space="preserve">лиц - профессиональных операторов для осуществления деятельности </w:t>
      </w:r>
      <w:r w:rsidR="009C532C">
        <w:br/>
      </w:r>
      <w:r>
        <w:t>с использованием объектов спортивной инфраструктуры, являющихся объектом соглашения о ГЧП, соглашения о МЧП или концессионного соглашения:</w:t>
      </w:r>
    </w:p>
    <w:p w14:paraId="778BE85D" w14:textId="77777777" w:rsidR="009B3193" w:rsidRDefault="00757011" w:rsidP="009C532C">
      <w:pPr>
        <w:ind w:firstLine="709"/>
      </w:pPr>
      <w:r>
        <w:t xml:space="preserve">частью 1 статьи 8 Федерального закона от 21 июля 2005 г. № 115-ФЗ "О концессионных соглашениях" предусмотрено право передачи с согласия концедента в порядке, установленном федеральными законами и условиями концессионного соглашения, объекта концессионного соглашения и (или) иного передаваемого концедентом концессионеру по концессионному соглашению имущества в пользование третьим лицам на срок, не превышающий срока использования (эксплуатации) объекта концессионного соглашения </w:t>
      </w:r>
      <w:r w:rsidR="009C532C">
        <w:br/>
      </w:r>
      <w:r>
        <w:t>по концессионному соглашению, а также право исполнения концессионного соглашения концессионером с привлечением других лиц;</w:t>
      </w:r>
    </w:p>
    <w:p w14:paraId="4D5E24A8" w14:textId="77777777" w:rsidR="009B3193" w:rsidRDefault="00757011" w:rsidP="009C532C">
      <w:pPr>
        <w:ind w:firstLine="709"/>
      </w:pPr>
      <w:r>
        <w:t>частью 6 статьи 5 Федерального закона от 13 июля 2015 г. № 224-ФЗ "О 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при допущении условиями соглашения о ГЧП, соглашения о МЧП предусмотрено право исполнения частным партнером своих обязательств по соглашению с привлечением третьих лиц.</w:t>
      </w:r>
    </w:p>
    <w:p w14:paraId="2FB11806" w14:textId="77777777" w:rsidR="009B3193" w:rsidRDefault="00757011" w:rsidP="009C532C">
      <w:pPr>
        <w:ind w:firstLine="709"/>
      </w:pPr>
      <w:r>
        <w:t xml:space="preserve">Реализация законопроекта позволит создать дополнительные стимулы </w:t>
      </w:r>
      <w:r w:rsidR="009C532C">
        <w:br/>
      </w:r>
      <w:r>
        <w:t xml:space="preserve">для участия инвесторов, реализующих проекты с использованием инструментов в рамках соглашения о ГЧП, соглашения о МЧП, концессионного соглашения, </w:t>
      </w:r>
      <w:r w:rsidR="009C532C">
        <w:br/>
      </w:r>
      <w:r>
        <w:lastRenderedPageBreak/>
        <w:t xml:space="preserve">в оказании государственных (муниципальных) услуг в рамках государственного (муниципального) социального заказа. Также законопроектом обеспечивается синхронизация сроков действия перечисленных механизмов с соглашением </w:t>
      </w:r>
      <w:r w:rsidR="009C532C">
        <w:br/>
      </w:r>
      <w:r>
        <w:t>об оказании государственных (муниципальных) услуг в социальной сфере.</w:t>
      </w:r>
    </w:p>
    <w:p w14:paraId="37F37399" w14:textId="77777777" w:rsidR="009B3193" w:rsidRDefault="00757011" w:rsidP="009C532C">
      <w:pPr>
        <w:ind w:firstLine="709"/>
      </w:pPr>
      <w:r>
        <w:t>Принятие законопроекта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11A6911F" w14:textId="77777777" w:rsidR="009B3193" w:rsidRDefault="00757011" w:rsidP="009C532C">
      <w:pPr>
        <w:ind w:firstLine="709"/>
      </w:pPr>
      <w:r>
        <w:t>Принятие законопроекта будет способствовать достижению целей государственных программ Российской Федерации "Развитие здравоохранения", "Развитие физической культуры и спорта", "Развитие образования", "Социальная поддержка граждан".</w:t>
      </w:r>
    </w:p>
    <w:p w14:paraId="3E1A1240" w14:textId="77777777" w:rsidR="009B3193" w:rsidRDefault="00757011" w:rsidP="009C532C">
      <w:pPr>
        <w:ind w:firstLine="709"/>
      </w:pPr>
      <w:r>
        <w:t xml:space="preserve">Положения законопроекта соответствуют положениям Договора </w:t>
      </w:r>
      <w:r w:rsidR="009C532C">
        <w:br/>
      </w:r>
      <w:r>
        <w:t>о Евразийском экономическом союзе, а также положениям иных международных договоров Российской Федерации.</w:t>
      </w:r>
    </w:p>
    <w:p w14:paraId="093AFFBD" w14:textId="77777777" w:rsidR="009B3193" w:rsidRDefault="00757011" w:rsidP="009C532C">
      <w:pPr>
        <w:ind w:firstLine="709"/>
      </w:pPr>
      <w:r>
        <w:t xml:space="preserve">Законопроект не содержит требований, которые связаны </w:t>
      </w:r>
      <w:r w:rsidR="009C532C">
        <w:br/>
      </w:r>
      <w:r>
        <w:t xml:space="preserve">с осуществлением предпринимательской и иной экономической деятельности </w:t>
      </w:r>
      <w:r w:rsidR="009C532C">
        <w:br/>
      </w:r>
      <w:r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 w:rsidR="009C532C">
        <w:br/>
      </w:r>
      <w:r>
        <w:t>к административной ответственности, представления лицензий и иных разрешений, аккредитации, оценки соответствия продукции, иных форм оценки и экспертизы.</w:t>
      </w:r>
    </w:p>
    <w:p w14:paraId="3771AB03" w14:textId="77777777" w:rsidR="008847C2" w:rsidRDefault="008847C2" w:rsidP="009C532C">
      <w:pPr>
        <w:ind w:firstLine="709"/>
      </w:pPr>
    </w:p>
    <w:p w14:paraId="1EBA5228" w14:textId="77777777" w:rsidR="008847C2" w:rsidRDefault="008847C2" w:rsidP="009C532C">
      <w:pPr>
        <w:ind w:firstLine="709"/>
      </w:pPr>
    </w:p>
    <w:p w14:paraId="6CEE879E" w14:textId="77777777" w:rsidR="00AB4C1F" w:rsidRPr="00D205A9" w:rsidRDefault="00AB4C1F" w:rsidP="009C532C">
      <w:pPr>
        <w:spacing w:line="240" w:lineRule="atLeast"/>
        <w:rPr>
          <w:rFonts w:ascii="Times New Roman" w:hAnsi="Times New Roman"/>
          <w:sz w:val="24"/>
          <w:szCs w:val="24"/>
        </w:rPr>
        <w:sectPr w:rsidR="00AB4C1F" w:rsidRPr="00D205A9" w:rsidSect="00454A48">
          <w:headerReference w:type="default" r:id="rId7"/>
          <w:footerReference w:type="default" r:id="rId8"/>
          <w:footerReference w:type="first" r:id="rId9"/>
          <w:pgSz w:w="11907" w:h="16840" w:code="9"/>
          <w:pgMar w:top="1418" w:right="737" w:bottom="1418" w:left="1418" w:header="709" w:footer="720" w:gutter="0"/>
          <w:cols w:space="720"/>
          <w:titlePg/>
          <w:docGrid w:linePitch="381"/>
        </w:sectPr>
      </w:pPr>
    </w:p>
    <w:p w14:paraId="15D5B65B" w14:textId="77777777" w:rsidR="00AB4C1F" w:rsidRPr="009D1F78" w:rsidRDefault="00AB4C1F" w:rsidP="009C532C">
      <w:pPr>
        <w:spacing w:line="240" w:lineRule="auto"/>
        <w:rPr>
          <w:sz w:val="4"/>
          <w:szCs w:val="4"/>
        </w:rPr>
      </w:pPr>
    </w:p>
    <w:sectPr w:rsidR="00AB4C1F" w:rsidRPr="009D1F78" w:rsidSect="00454A48">
      <w:type w:val="continuous"/>
      <w:pgSz w:w="11907" w:h="16840" w:code="9"/>
      <w:pgMar w:top="-360" w:right="737" w:bottom="1418" w:left="1418" w:header="15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5345" w14:textId="77777777" w:rsidR="00454A48" w:rsidRDefault="00454A48">
      <w:pPr>
        <w:spacing w:line="240" w:lineRule="auto"/>
      </w:pPr>
      <w:r>
        <w:separator/>
      </w:r>
    </w:p>
  </w:endnote>
  <w:endnote w:type="continuationSeparator" w:id="0">
    <w:p w14:paraId="70938C1C" w14:textId="77777777" w:rsidR="00454A48" w:rsidRDefault="00454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pPr w:leftFromText="181" w:rightFromText="18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166"/>
    </w:tblGrid>
    <w:tr w:rsidR="00544E6E" w14:paraId="0F717242" w14:textId="77777777" w:rsidTr="002F660E">
      <w:trPr>
        <w:trHeight w:val="366"/>
      </w:trPr>
      <w:tc>
        <w:tcPr>
          <w:tcW w:w="3166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2C352FA4" w14:textId="77777777" w:rsidR="006B3CDE" w:rsidRDefault="00757011" w:rsidP="006B3CDE">
          <w:pPr>
            <w:pStyle w:val="a5"/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1038557-Уч-2023 (1.1)</w:t>
          </w:r>
        </w:p>
      </w:tc>
    </w:tr>
    <w:tr w:rsidR="00544E6E" w14:paraId="3E9A328D" w14:textId="77777777" w:rsidTr="002F660E">
      <w:trPr>
        <w:trHeight w:val="937"/>
      </w:trPr>
      <w:tc>
        <w:tcPr>
          <w:tcW w:w="3166" w:type="dxa"/>
          <w:tcBorders>
            <w:top w:val="nil"/>
            <w:left w:val="nil"/>
            <w:bottom w:val="nil"/>
            <w:right w:val="nil"/>
          </w:tcBorders>
          <w:hideMark/>
        </w:tcPr>
        <w:p w14:paraId="0E3912FD" w14:textId="77777777" w:rsidR="006B3CDE" w:rsidRDefault="00000000" w:rsidP="006B3CDE">
          <w:pPr>
            <w:pStyle w:val="a5"/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55EB395B" wp14:editId="3C044215">
                <wp:simplePos x="0" y="0"/>
                <wp:positionH relativeFrom="page">
                  <wp:posOffset>72390</wp:posOffset>
                </wp:positionH>
                <wp:positionV relativeFrom="page">
                  <wp:posOffset>14605</wp:posOffset>
                </wp:positionV>
                <wp:extent cx="1905000" cy="476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xt Box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921F5E" w14:textId="77777777" w:rsidR="00A63C78" w:rsidRDefault="00A63C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pPr w:leftFromText="181" w:rightFromText="181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166"/>
    </w:tblGrid>
    <w:tr w:rsidR="00544E6E" w14:paraId="0384A582" w14:textId="77777777" w:rsidTr="003C3B7D">
      <w:trPr>
        <w:trHeight w:val="366"/>
      </w:trPr>
      <w:tc>
        <w:tcPr>
          <w:tcW w:w="3166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03F906C0" w14:textId="77777777" w:rsidR="00802F2D" w:rsidRDefault="00757011" w:rsidP="003C3B7D">
          <w:pPr>
            <w:pStyle w:val="a5"/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1038557-Уч-2023 (6.0)</w:t>
          </w:r>
        </w:p>
      </w:tc>
    </w:tr>
    <w:tr w:rsidR="00544E6E" w14:paraId="066427EE" w14:textId="77777777" w:rsidTr="003C3B7D">
      <w:trPr>
        <w:trHeight w:val="937"/>
      </w:trPr>
      <w:tc>
        <w:tcPr>
          <w:tcW w:w="3166" w:type="dxa"/>
          <w:tcBorders>
            <w:top w:val="nil"/>
            <w:left w:val="nil"/>
            <w:bottom w:val="nil"/>
            <w:right w:val="nil"/>
          </w:tcBorders>
          <w:hideMark/>
        </w:tcPr>
        <w:p w14:paraId="12CE10B8" w14:textId="77777777" w:rsidR="00802F2D" w:rsidRDefault="00000000" w:rsidP="003C3B7D">
          <w:pPr>
            <w:pStyle w:val="a5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0A67FA4C" wp14:editId="51F9E0D8">
                <wp:simplePos x="0" y="0"/>
                <wp:positionH relativeFrom="page">
                  <wp:posOffset>72390</wp:posOffset>
                </wp:positionH>
                <wp:positionV relativeFrom="page">
                  <wp:posOffset>14605</wp:posOffset>
                </wp:positionV>
                <wp:extent cx="190500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xt Box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5C9B12" w14:textId="77777777" w:rsidR="00802F2D" w:rsidRDefault="00802F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687A" w14:textId="77777777" w:rsidR="00454A48" w:rsidRDefault="00454A48">
      <w:pPr>
        <w:spacing w:line="240" w:lineRule="auto"/>
      </w:pPr>
      <w:r>
        <w:separator/>
      </w:r>
    </w:p>
  </w:footnote>
  <w:footnote w:type="continuationSeparator" w:id="0">
    <w:p w14:paraId="152F7D57" w14:textId="77777777" w:rsidR="00454A48" w:rsidRDefault="00454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65A8" w14:textId="77777777" w:rsidR="009E2468" w:rsidRDefault="00757011" w:rsidP="009E24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72BF">
      <w:rPr>
        <w:rStyle w:val="a7"/>
        <w:noProof/>
      </w:rPr>
      <w:t>4</w:t>
    </w:r>
    <w:r>
      <w:rPr>
        <w:rStyle w:val="a7"/>
      </w:rPr>
      <w:fldChar w:fldCharType="end"/>
    </w:r>
  </w:p>
  <w:p w14:paraId="6D3EE400" w14:textId="77777777" w:rsidR="006B54EE" w:rsidRPr="009E2468" w:rsidRDefault="006B54EE" w:rsidP="009E24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6"/>
    <w:rsid w:val="00041F37"/>
    <w:rsid w:val="00056AA4"/>
    <w:rsid w:val="00112200"/>
    <w:rsid w:val="002F660E"/>
    <w:rsid w:val="00306E0A"/>
    <w:rsid w:val="003475C3"/>
    <w:rsid w:val="003C3B7D"/>
    <w:rsid w:val="003F4514"/>
    <w:rsid w:val="00454A48"/>
    <w:rsid w:val="004A23FD"/>
    <w:rsid w:val="004A75E5"/>
    <w:rsid w:val="004B3CE4"/>
    <w:rsid w:val="005344C9"/>
    <w:rsid w:val="00544E6E"/>
    <w:rsid w:val="00642694"/>
    <w:rsid w:val="00646649"/>
    <w:rsid w:val="00690DAC"/>
    <w:rsid w:val="006B3CDE"/>
    <w:rsid w:val="006B54EE"/>
    <w:rsid w:val="007514FA"/>
    <w:rsid w:val="00757011"/>
    <w:rsid w:val="00802F2D"/>
    <w:rsid w:val="008114AC"/>
    <w:rsid w:val="008847C2"/>
    <w:rsid w:val="008D3BA7"/>
    <w:rsid w:val="009B3193"/>
    <w:rsid w:val="009C532C"/>
    <w:rsid w:val="009D1F78"/>
    <w:rsid w:val="009E14CD"/>
    <w:rsid w:val="009E2468"/>
    <w:rsid w:val="00A055C6"/>
    <w:rsid w:val="00A63C78"/>
    <w:rsid w:val="00A97EEE"/>
    <w:rsid w:val="00AA7EEC"/>
    <w:rsid w:val="00AB4C1F"/>
    <w:rsid w:val="00AF7439"/>
    <w:rsid w:val="00B37DF3"/>
    <w:rsid w:val="00C27159"/>
    <w:rsid w:val="00CD474F"/>
    <w:rsid w:val="00CE6D8C"/>
    <w:rsid w:val="00D205A9"/>
    <w:rsid w:val="00D655A6"/>
    <w:rsid w:val="00DE3D57"/>
    <w:rsid w:val="00E0138D"/>
    <w:rsid w:val="00E01A80"/>
    <w:rsid w:val="00E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A4D2D"/>
  <w14:defaultImageDpi w14:val="0"/>
  <w15:docId w15:val="{A7101D77-217B-4A73-BCCD-6BA14FB9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C1F"/>
    <w:pPr>
      <w:spacing w:after="0" w:line="360" w:lineRule="atLeast"/>
      <w:jc w:val="both"/>
    </w:pPr>
    <w:rPr>
      <w:rFonts w:ascii="Times New Roman CYR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C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4C1F"/>
    <w:rPr>
      <w:rFonts w:ascii="Times New Roman CYR" w:hAnsi="Times New Roman CYR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AB4C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4C1F"/>
    <w:rPr>
      <w:rFonts w:ascii="Times New Roman CYR" w:hAnsi="Times New Roman CYR" w:cs="Times New Roman"/>
      <w:sz w:val="20"/>
      <w:szCs w:val="20"/>
      <w:lang w:val="x-none" w:eastAsia="ru-RU"/>
    </w:rPr>
  </w:style>
  <w:style w:type="character" w:styleId="a7">
    <w:name w:val="page number"/>
    <w:basedOn w:val="a0"/>
    <w:uiPriority w:val="99"/>
    <w:rsid w:val="00AB4C1F"/>
    <w:rPr>
      <w:rFonts w:cs="Times New Roman"/>
    </w:rPr>
  </w:style>
  <w:style w:type="table" w:styleId="a8">
    <w:name w:val="Table Grid"/>
    <w:basedOn w:val="a1"/>
    <w:uiPriority w:val="39"/>
    <w:rsid w:val="00AB4C1F"/>
    <w:pPr>
      <w:spacing w:after="0" w:line="360" w:lineRule="atLeast"/>
      <w:jc w:val="both"/>
    </w:pPr>
    <w:rPr>
      <w:rFonts w:ascii="Times New Roman CYR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аименование вида документа"/>
    <w:qFormat/>
    <w:rsid w:val="00AB4C1F"/>
    <w:pPr>
      <w:spacing w:before="480" w:after="0" w:line="259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Заголовок ФЗ"/>
    <w:qFormat/>
    <w:rsid w:val="00AB4C1F"/>
    <w:pPr>
      <w:spacing w:before="480" w:after="0" w:line="240" w:lineRule="auto"/>
      <w:jc w:val="center"/>
    </w:pPr>
    <w:rPr>
      <w:rFonts w:ascii="Times New Roman Полужирный" w:hAnsi="Times New Roman Полужирный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2AE0-FCAF-489B-857B-F7F02DA6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Захаркин Владислав Владимирович</dc:creator>
  <cp:keywords/>
  <dc:description/>
  <cp:lastModifiedBy>Бортащенок Алексей</cp:lastModifiedBy>
  <cp:revision>2</cp:revision>
  <dcterms:created xsi:type="dcterms:W3CDTF">2024-04-17T14:46:00Z</dcterms:created>
  <dcterms:modified xsi:type="dcterms:W3CDTF">2024-04-17T14:46:00Z</dcterms:modified>
</cp:coreProperties>
</file>